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d60d4d866477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7333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RUDOLF STEINER DARUVAR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1.794.989,10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2.089.883,58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1.770.258,60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2.189.675,18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99.791,60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53.357,71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53.357,71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153.149,31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ostvareni su ukupni prihodi u iznosu od 2.089.883,58 EUR, dok su ukupni rashodi poslovanja iznosili 2.189.675,18 EUR. Rashodi za nabavu nefinancijske imovine iznosili su 53.357,71 EUR.</w:t>
      </w:r>
    </w:p>
    <w:p>
      <w:r>
        <w:t xml:space="preserve">U izvještajnom razdoblju ostvaren je manjak prihoda i primitaka u iznosu od 153.149,31 EUR.</w:t>
      </w:r>
    </w:p>
    <w:p>
      <w:r>
        <w:t xml:space="preserve">Prihodi se najvećim dijelom odnose na sredstva iz nadležnog proračuna i Hrvatskog zavoda za zdravstveno osiguranje (HZZO) u iznosu od 1.986.436,75 EUR, što čini 95 % ukupnih prihoda.</w:t>
      </w:r>
    </w:p>
    <w:p>
      <w:r>
        <w:t xml:space="preserve">Rashodi se u najvećem dijelu odnose na rashode za zaposlene u iznosu od 1.911.973,10 EUR, što predstavlja 87 % ukupnih rashoda poslovanja. Ostali rashodi odnose se na materijalne troškove, energiju, usluge potrebne za redovno poslovanje ustanove te naknade građanima i kućanstvima.</w:t>
      </w:r>
    </w:p>
    <w:p>
      <w:r>
        <w:t xml:space="preserve">U razdoblju od 1. siječnja do 31. prosinca 2025. godine nabavljena je nefinancijska imovina u ukupnom iznosu od 53.357,71 EUR, od čega je 50.613,75 EUR financirano iz sredstava nadležnog proračuna, a 2.743,96 EUR iz vlastitih sredstava.</w:t>
      </w:r>
    </w:p>
    <w:p>
      <w:r>
        <w:t xml:space="preserve">Manjak prihoda i primitaka odnosi se najvećim dijelom na plaću za prosinac 2025. godine u iznosu od 144.262,61 EUR, koja je isplaćena u siječnju 2026. godine, te na račune iz prosinca 2025. godine u iznosu od 10.119,15 EUR, koji će biti plaćeni u 2026. godini.</w:t>
      </w:r>
      <w:r>
        <w:br/>
      </w:r>
      <w:r>
        <w:t xml:space="preserve">Po ostalim izvorima financiranja evidentiran je višak u iznosu od 1.232,45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20.467,04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24.884,47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121,6</w:t>
            </w:r>
          </w:p>
        </w:tc>
      </w:tr>
    </w:tbl>
    <w:p>
      <w:pPr>
        <w:spacing w:before="0" w:after="0"/>
      </w:pPr>
    </w:p>
    <w:p>
      <w:r>
        <w:t xml:space="preserve">Prihod od Ministarstva znanosti i obrazovanja za troškove školske prehrane i troškove didaktičkog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1.740.868,97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2.052.291,25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Prihodi iz nadležnog proračuna i od Hrvatskog zavoda za zdravstveno osiguranje (HZZO) na temelju ugovornih obveza u izvještajnom razdoblju 2025. godine iznosili su 2.052.291,25 EUR, što predstavlja povećanje od 17,9 % u odnosu na prethodnu godinu, kada su ostvareni u iznosu od 1.740.868,97 EUR. Povećanje prihoda najvećim se dijelom odnosi na povećanje sredstava za financiranje rashoda za zaposlene zbog povećanja osnovice plaće tijekom 2025. godine, kao i zbog povećanja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1.522.367,23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1.911.973,10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r>
        <w:t xml:space="preserve">Rashodi za plaće u izvještajnom razdoblju veći su u odnosu na isto razdoblje prethodne godine zbog povećanja osnovice plaće tijekom 2025. godine, kao i zbog povećanja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126.167,78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158.024,97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125,2</w:t>
            </w:r>
          </w:p>
        </w:tc>
      </w:tr>
    </w:tbl>
    <w:p>
      <w:pPr>
        <w:spacing w:before="0" w:after="0"/>
      </w:pPr>
    </w:p>
    <w:p>
      <w:r>
        <w:t xml:space="preserve">Povećanje rashoda za energiju u istom razdoblju posljedica je kombinacije viših cijena energenata te povećane kilometraže vozila korištenih za prijevoz korisnika u i iz ustanove, što je rezultiralo većom potrošnjom goriva i energije.</w:t>
      </w:r>
    </w:p>
    <w:p>
      <w:r>
        <w:t xml:space="preserve">Povećanje rashoda za materijal u 2025. godini u odnosu na 2024. godinu rezultat je uređenja kartoteke socijalnog radnika, uključujući nabavu dosjea, vodilica i drugog materijala potrebnog za vođenje kartoteke.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4.918,24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6.891,42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140,1</w:t>
            </w:r>
          </w:p>
        </w:tc>
      </w:tr>
    </w:tbl>
    <w:p>
      <w:pPr>
        <w:spacing w:before="0" w:after="0"/>
      </w:pPr>
    </w:p>
    <w:p>
      <w:r>
        <w:t xml:space="preserve">Rashodi za materijal i dijelove za tekuće i investicijsko održavanje u 2025. godini iznosili su 6.891,42 EUR, što predstavlja povećanje od 40,1 % u odnosu na prethodnu godinu, kada su iznosili 4.918,24 EUR.</w:t>
      </w:r>
    </w:p>
    <w:p>
      <w:r>
        <w:t xml:space="preserve">Povećanje rashoda rezultat je nabave materijala i dijelova za održavanje vozila koja ustanova koristi u svakodnevnom radu za prijevoz korisnika, te tekuće održavanje opreme unutar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4.035,71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260,2</w:t>
            </w:r>
          </w:p>
        </w:tc>
      </w:tr>
    </w:tbl>
    <w:p>
      <w:pPr>
        <w:spacing w:before="0" w:after="0"/>
      </w:pPr>
    </w:p>
    <w:p>
      <w:r>
        <w:t xml:space="preserve">Rashodi za službenu, radnu i zaštitnu odjeću i obuću u 2025. godini iznosili su 4.035,71 EUR, što predstavlja povećanje od 160,2 % u odnosu na prethodnu godinu, kada su iznosili 1.551,17 EUR.</w:t>
      </w:r>
      <w:r>
        <w:br/>
      </w:r>
      <w:r>
        <w:t xml:space="preserve">Povećanje rashoda rezultat je nabave zaštitne službene i odjeće i obuće za djelatnike ustanove u skladu s potrebama za osiguranje adekvatne zaštite  djelatnika, što je posebno važno za djelatnike koji neposredno rade s korisnicima.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60.175,41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56.874,58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94,5</w:t>
            </w:r>
          </w:p>
        </w:tc>
      </w:tr>
    </w:tbl>
    <w:p>
      <w:pPr>
        <w:spacing w:before="0" w:after="0"/>
      </w:pPr>
    </w:p>
    <w:p>
      <w:r>
        <w:t xml:space="preserve">Ostale naknade građanima i kućanstvima iz proračuna u 2025. godini iznosili su 56.874,58 EUR. Rashodi se odnose na džeparac, prijevozne troškove, smještaj u udomiteljske obitelji, ljetovanje i kulturno-zabavne potrebe korisnika. Naknade su planirane i isplaćivane u skladu s pozitivnim propisima iz socijalne skrbi.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 (šifre 011+012-019)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41.071,56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 prosinca 2025. godine, stanje po računu 01 – Neproizvedena dugotrajna imovina iznosilo je 41.071,56 EUR, dok je na početku godine iznosilo 0,00 EUR.</w:t>
      </w:r>
    </w:p>
    <w:p>
      <w:r>
        <w:t xml:space="preserve">Povećanje stanja rezultat je donacija zemljišta namijenjenog za izgradnju kuća za organizirano stanovanje.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Dugotrajna nefinancijska imovina u pripremi (šifre 051 do 056)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 prosinca 2025. godine, stanje po računu 05 – Dugotrajna nefinancijska imovina u pripremi iznosilo je 41.450,00 EUR, dok je na početku godine iznosilo 0,00 EUR.</w:t>
      </w:r>
    </w:p>
    <w:p>
      <w:r>
        <w:t xml:space="preserve">Imovina se odnosi na tekući investicijski proces centra i pripremne aktivnosti za buduću realizaciju izgradnje objekata.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159.571,79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 dan 31. prosinca 2025. godine, stanje po računu 19 – Rashodi budućih razdoblja i nedospjela naplata prihoda iznosilo je 0,00 EUR, dok je na početku godine iznosilo 159.571,79 EUR. Rezultat je ukidanje podskupine konta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10.944,26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16.122,44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147,3</w:t>
            </w:r>
          </w:p>
        </w:tc>
      </w:tr>
    </w:tbl>
    <w:p>
      <w:pPr>
        <w:spacing w:before="0" w:after="0"/>
      </w:pPr>
    </w:p>
    <w:p>
      <w:r>
        <w:t xml:space="preserve">Potraživane naknade za bolovanje od HZZO.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41.071,56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Donacija zemljišta za izgradnju kuća za organizirano stanovanje.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Centar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razdoblju od 1. siječnja do 31. prosinca 2025. godine, po izvoru financiranja 581 – Mehanizam za oporavak i otpornost (Europska komisija), ostvareni su prihodi u iznosu od 46.654,50 EUR, dok su rashodi iznosili 50.612,24 EUR, a odnose se na troškove plaća. Ostvareni prihodi osigurani su iz proračuna za financiranje troškova plaća.</w:t>
      </w:r>
    </w:p>
    <w:p>
      <w:r>
        <w:t xml:space="preserve">U izvještajnom razdoblju evidentiran je manjak u iznosu od 3.957,74 EUR, koji se odnosi na plaću za prosinac 2025. godine, a koja će biti isplaćena u siječnju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8d4c6a047d4ddf" /></Relationships>
</file>